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rFonts w:ascii="Calibri" w:hAnsi="Calibri"/>
          <w:b/>
          <w:color w:val="16A34A"/>
          <w:sz w:val="18"/>
        </w:rPr>
        <w:t>Sample invoice for reference only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Your business address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2026-071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23,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6,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20,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Sample service address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Lawn mowing and edging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Residential visit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Spring cleanup labor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3 hours on-site (2 quoted, 1 added with client approval)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3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$55.00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$165.00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Hardwood mulch (dyed)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Materials, 3 cubic yards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3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$135.00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Mulch installation labor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Bed prep and spread, 3 cubic yards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3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Equipment and haul fee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Trailer plus truck for the visit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Green-waste disposal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Dump ticket, one load (actual ticket ran above the estimate)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$35.00</w:t>
            </w:r>
          </w:p>
        </w:tc>
      </w:tr>
    </w:tbl>
    <w:p>
      <w:pPr>
        <w:spacing w:after="4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$625.00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 (7% on materials only)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$9.45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$634.45</w:t>
            </w:r>
          </w:p>
        </w:tc>
      </w:tr>
    </w:tbl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120"/>
      </w:pPr>
      <w:r>
        <w:rPr>
          <w:rFonts w:ascii="Calibri" w:hAnsi="Calibri"/>
          <w:b w:val="0"/>
          <w:color w:val="0A0A0A"/>
          <w:sz w:val="20"/>
        </w:rPr>
        <w:t>Net 14. Payable by bank transfer, Zelle, cash, or check.</w:t>
      </w: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160"/>
      </w:pPr>
      <w:r>
        <w:rPr>
          <w:rFonts w:ascii="Calibri" w:hAnsi="Calibri"/>
          <w:b w:val="0"/>
          <w:color w:val="0A0A0A"/>
          <w:sz w:val="20"/>
        </w:rPr>
        <w:t>Est. #EST-2026-071 approved 2026-07-15 Approved change on-site: +1 hour spring cleanup labor and a higher disposal ticket than estimated (client agreed 2026-07-20) Recurring lawn maintenance client.</w:t>
      </w:r>
    </w:p>
    <w:p>
      <w:pPr>
        <w:spacing w:after="0"/>
      </w:pPr>
      <w:r>
        <w:rPr>
          <w:i/>
          <w:color w:val="525252"/>
          <w:sz w:val="18"/>
        </w:rPr>
        <w:t>Thank you for your business.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[service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120"/>
      </w:pPr>
      <w:r>
        <w:rPr>
          <w:rFonts w:ascii="Calibri" w:hAnsi="Calibri"/>
          <w:b w:val="0"/>
          <w:color w:val="0A0A0A"/>
          <w:sz w:val="20"/>
        </w:rPr>
        <w:t>[e.g. Due on receipt, Net 15, Net 30]</w:t>
      </w: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160"/>
      </w:pPr>
      <w:r>
        <w:rPr>
          <w:rFonts w:ascii="Calibri" w:hAnsi="Calibri"/>
          <w:b w:val="0"/>
          <w:color w:val="0A0A0A"/>
          <w:sz w:val="20"/>
        </w:rPr>
        <w:t>[Access instructions, service window, or client-specific notes]</w:t>
      </w:r>
    </w:p>
    <w:p>
      <w:pPr>
        <w:spacing w:after="0"/>
      </w:pPr>
      <w:r>
        <w:rPr>
          <w:i/>
          <w:color w:val="525252"/>
          <w:sz w:val="18"/>
        </w:rPr>
        <w:t>Thank you for your business.</w:t>
      </w:r>
    </w:p>
    <w:sectPr w:rsidR="00FC693F" w:rsidRPr="0006063C" w:rsidSect="00034616">
      <w:pgSz w:w="12240" w:h="15840"/>
      <w:pgMar w:top="850" w:right="1077" w:bottom="85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