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Your Business Name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hello@yourbusiness.com   |   (555) 123-4567   |   License #TECL00000000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2026-138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July 24,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August 7,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Service date: July 22, 2026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Sample Client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sample@example.com   |   (555) 987-6543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Sample service address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850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Qty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Service call, diagnostic, and load calculation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$189.00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$189.00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Panel upgrade labor (journeyman)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$660.00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$660.00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200A load center, AFCI/GFCI breakers, wire, and conduit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$1,260.00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$1,260.00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Aluminum branch-circuit pigtailing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$180.00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$180.00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Permit fee (billed at cost)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$145.00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$145.00</w:t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$2,434.00</w:t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$103.95</w:t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  <w:t>$2,537.95</w:t>
            </w:r>
          </w:p>
        </w:tc>
      </w:tr>
    </w:tbl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60"/>
      </w:pPr>
      <w:r>
        <w:rPr>
          <w:rFonts w:ascii="Calibri" w:hAnsi="Calibri"/>
          <w:b w:val="0"/>
          <w:color w:val="0A0A0A"/>
          <w:sz w:val="18"/>
        </w:rPr>
        <w:t>Net 14. Payable by bank transfer, Zelle, cash, or check. A 1.5 percent monthly late fee applies after the due date, as stated in the accepted estimate.</w:t>
      </w:r>
    </w:p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0"/>
      </w:pPr>
      <w:r>
        <w:rPr>
          <w:rFonts w:ascii="Calibri" w:hAnsi="Calibri"/>
          <w:b w:val="0"/>
          <w:color w:val="0A0A0A"/>
          <w:sz w:val="18"/>
        </w:rPr>
        <w:t>Est. #EST-2026-138 approved 2026-07-15. Aluminum branch-circuit pigtailing approved 2026-07-22 (discovered condition). Permit #ELEC-2026-4471 filed with the AHJ. Rough-in and final inspection required before energizing.</w:t>
      </w:r>
    </w:p>
    <w:p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[Business name]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[email]   |   [phone]   |   [business address]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________________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Service date: ____________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[Client name]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[client email or phone]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[service address]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850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Qty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</w:r>
          </w:p>
        </w:tc>
      </w:tr>
    </w:tbl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60"/>
      </w:pPr>
      <w:r>
        <w:rPr>
          <w:rFonts w:ascii="Calibri" w:hAnsi="Calibri"/>
          <w:b w:val="0"/>
          <w:color w:val="0A0A0A"/>
          <w:sz w:val="18"/>
        </w:rPr>
        <w:t>[e.g. Due on receipt, Net 15, Net 30]</w:t>
      </w:r>
    </w:p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0"/>
      </w:pPr>
      <w:r>
        <w:rPr>
          <w:rFonts w:ascii="Calibri" w:hAnsi="Calibri"/>
          <w:b w:val="0"/>
          <w:color w:val="0A0A0A"/>
          <w:sz w:val="18"/>
        </w:rPr>
        <w:t>[Access instructions, service window, or client-specific notes]</w:t>
      </w:r>
    </w:p>
    <w:sectPr w:rsidR="00FC693F" w:rsidRPr="0006063C" w:rsidSect="00034616">
      <w:pgSz w:w="12240" w:h="15840"/>
      <w:pgMar w:top="567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76" w:lineRule="auto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