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Catering Company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events@yourcatering.com   |   (555) 318-2240   |   740 Larkspur Ave, Austin, TX 78702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2026-0342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24,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Event date: July 19,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Brightwater Corp Events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ap@brightwatercorp.com   |   (555) 902-1187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Event: Hallmark Pavilion, 1200 River Rd, Austin, TX 78701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Plated dinner, per guest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85 attended; guarantee governs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$68.00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$6,800.00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Bar package, per guest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Same guarantee basis as the meal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$22.00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$2,200.00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Event servers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4 servers, 6 hours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24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$38.00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$912.00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Bartender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1 bartender, 6 hours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6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$270.00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Rentals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Linens, china, glassware, flatware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$1,450.00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$1,450.00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Delivery and setup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Delivery, setup, breakdown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Service charge (18%, mandatory)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Not a gratuity. See the disclosure below.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$1,832.76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$1,832.76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$13,814.76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 (7.25% on taxable lines)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$915.88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$14,730.64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10. Payable by ACH or check. Deposit of $2,500.00 paid at booking is credited, leaving a balance due of $12,230.64.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#EST-2026-0342. Final guaranteed count 100 (est. 90). 85 attended; billed at the guaranteed 100 per contract. Service charge is mandatory, not a gratuity.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or company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[on-site contact and accounts payable email]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[venue name and event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Net 10. State deposit credited and balance due.]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[event date, final guaranteed guest count, and whether service charge is mandatory]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